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both"/>
        <w:spacing w:before="3"/>
        <w:ind w:left="281" w:right="818"/>
      </w:pPr>
      <w:r>
        <w:rPr>
          <w:rFonts w:cs="Open Sans" w:hAnsi="Open Sans" w:eastAsia="Open Sans" w:ascii="Open Sans"/>
          <w:b/>
          <w:color w:val="363435"/>
          <w:spacing w:val="-5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15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5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D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5"/>
          <w:w w:val="100"/>
          <w:sz w:val="20"/>
          <w:szCs w:val="20"/>
        </w:rPr>
        <w:t>D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M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5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P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F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S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5"/>
          <w:w w:val="100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H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B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15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5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S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6578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55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exact" w:line="240"/>
        <w:ind w:left="281" w:right="81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position w:val="2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enferma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vício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bitacionais,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1095ºs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exact" w:line="240"/>
        <w:ind w:left="281" w:right="81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2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6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5"/>
        <w:ind w:left="848" w:right="810" w:hanging="567"/>
      </w:pPr>
      <w:r>
        <w:pict>
          <v:group style="position:absolute;margin-left:85.039pt;margin-top:38.3417pt;width:311.811pt;height:0pt;mso-position-horizontal-relative:page;mso-position-vertical-relative:paragraph;z-index:-161" coordorigin="1701,767" coordsize="6236,0">
            <v:shape style="position:absolute;left:1701;top:767;width:6236;height:0" coordorigin="1701,767" coordsize="6236,0" path="m1701,767l7937,767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 w:lineRule="auto" w:line="258"/>
        <w:ind w:left="281" w:right="817"/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12</w:t>
      </w:r>
      <w:r>
        <w:rPr>
          <w:rFonts w:cs="Open Sans" w:hAnsi="Open Sans" w:eastAsia="Open Sans" w:ascii="Open Sans"/>
          <w:color w:val="363435"/>
          <w:spacing w:val="21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Q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ç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ô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j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30" w:lineRule="auto" w:line="258"/>
        <w:ind w:left="281" w:right="817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13</w:t>
      </w: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P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édio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urbano,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acção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autónoma,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etc.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Na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ventualidade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de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im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ó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vel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ab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anger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out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bens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(como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ga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agens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ou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ar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ecadações),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ve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ão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ser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eles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descritos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neste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espaço.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Contratantes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opuser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exact" w:line="24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2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deteriorações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udente,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dições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útil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2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3" w:lineRule="auto" w:line="244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notificada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ecepção,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antecedência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constará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obrigatoriamente,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coeficiente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1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custear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ções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indispensá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obtençã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3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melhoramentos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elaboração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ojectos,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ância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egulamenta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administrati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1414" w:right="243" w:hanging="56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iniciar-se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autorizações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entidades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competentes,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812" w:right="24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3.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1414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submeter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1414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5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ecutadas,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gentes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notificado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dê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notificaçã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exact" w:line="240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3.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anterio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esponsá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 w:lineRule="auto" w:line="245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encargos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2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uturais.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sequência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elar-se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uturais,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245" w:right="8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3.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ve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6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15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15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6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15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3"/>
        <w:ind w:left="848" w:right="80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submeter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considerando-se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autorizadas,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5" w:right="81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uturais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esultem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848" w:right="31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5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43"/>
        <w:ind w:left="848" w:right="809" w:hanging="56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encargos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despesas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administração,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edifício,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5" w:right="8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/>
        <w:ind w:left="848" w:righ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5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obrigado,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5" w:right="8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/>
        <w:ind w:left="848" w:right="512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udente;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3"/>
        <w:ind w:left="848" w:right="808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cionar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gratuita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cepto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6" w:right="8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809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títulos,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permitida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umprir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higiene,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segurança,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salubridade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ambientais.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269" w:right="27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denúncia;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5"/>
        <w:ind w:left="813" w:right="24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 w:lineRule="auto" w:line="245"/>
        <w:ind w:left="1415" w:right="24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269" w:right="27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momento,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ogação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269" w:right="27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ualquer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269" w:right="27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3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"/>
        <w:ind w:left="3269" w:right="27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3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" w:lineRule="auto" w:line="243"/>
        <w:ind w:left="1414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812" w:right="245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contribuições;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812" w:right="39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informações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falsas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2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/>
        <w:ind w:left="848" w:right="609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5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8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epetida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fundamentada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fiscalização;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5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alínea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e)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1041º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1042º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exact" w:line="240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indemnizado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 w:lineRule="exact" w:line="22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gerais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1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1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2702" w:right="32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antecedência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mínima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5" w:right="8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impedir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comu-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 w:lineRule="auto" w:line="245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nicação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antecedência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mínima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4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antecedência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décima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1"/>
        <w:ind w:left="2702" w:right="32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gratuitamente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benfeitorias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5" w:right="81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zo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5"/>
        <w:ind w:left="2702" w:right="32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44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abrangidas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apólices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cubram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5" w:right="8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segurar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endado,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constar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 w:lineRule="auto" w:line="245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apólice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incêndio,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raio,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explosão,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inundações.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40"/>
        <w:ind w:left="245" w:right="81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12" w:right="147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exibi-las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6"/>
        <w:ind w:left="2703" w:right="32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3"/>
        <w:ind w:left="848" w:right="809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5"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comissário,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exact" w:line="24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3.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 w:lineRule="auto" w:line="245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exigidas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ância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disposições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269" w:right="27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triplicado,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inanças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 w:lineRule="exact" w:line="520"/>
        <w:ind w:left="848" w:right="2695" w:firstLine="245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848" w:right="503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3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