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D6" w:rsidRDefault="007F1405">
      <w:pPr>
        <w:pStyle w:val="1-TTULOFORMULRIOnovadir"/>
        <w:rPr>
          <w:rStyle w:val="1-TTULOFORMULRIO"/>
        </w:rPr>
      </w:pPr>
      <w:r>
        <w:rPr>
          <w:rStyle w:val="1-TTULOFORMULRIO"/>
        </w:rPr>
        <w:t>9. Defesa por não acatamento do dever de recolhimento domiciliário (#1)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Auto de contra-ordenação nº ...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(nome da entidade que enviou a notificação)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JOÃO...,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casado, portador do cartão de cidadão nº ..., válido até ..., NIF ..., morador na Urbanização ... – Lisboa, vem, nos termos do artº 50º DL 433/82, de 27 de Outubro, apresentar a sua DEFESA, o que faz nos termos e com os fundamentos seguintes: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Foi o ora Arguido notificado de todo o auto de contra-ordenação sobre-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br/>
        <w:t>-identificado.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02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Analisada exaustivamente a dita notificação, constata-se que da mesma não consta a fundamentação de facto e de direito na qual radica a aplicação de coima, multa ou contra-ordenação. Na verdade,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03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Da notificação do acto administrativo devem constar o texto integral do acto administrativo, incluindo a respectiva fundamentação, quando deva existir (artº 114º/2ª) CPA). Também: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04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Devem ser fundamentados os actos administrativos que, total ou parcialmente, (...) imponham (...) deveres, encargos, ónus, sujeições ou sanções (artº 152º/1ª) CPA).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05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>A fundamentação está sujeita aos requisitos constantes do artº 153º CPA: “A fundamentação deve ser expressa, através de sucinta exposição dos fundamentos de facto e de direito da decisão, podendo consistir em mera declaração de concordância com os fundamentos de anteriores pareceres, informações ou propostas, que constituem, neste caso, parte integrante do respectivo acto.”</w:t>
      </w:r>
    </w:p>
    <w:p w:rsidR="00C73AD6" w:rsidRDefault="007F1405">
      <w:pPr>
        <w:pStyle w:val="Alneas1nvel"/>
        <w:spacing w:after="12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06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“Equivale à falta de fundamentação a adopção de fundamentos que, por obscuridade, contradição ou insuficiência, não esclareçam concretamente a motivação do acto.” (artº 153º/2 CPA).</w:t>
      </w:r>
    </w:p>
    <w:p w:rsidR="00C73AD6" w:rsidRDefault="007F1405">
      <w:pPr>
        <w:pStyle w:val="Alneas1nvel"/>
        <w:spacing w:after="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07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artº 161º/2d) CPA fere com a nulidade os actos administrativos que ofendam o conteúdo essencial de um direito fundamental.</w:t>
      </w:r>
    </w:p>
    <w:p w:rsidR="00C73AD6" w:rsidRDefault="007F1405">
      <w:pPr>
        <w:pStyle w:val="Alneas1nvel"/>
        <w:spacing w:after="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08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Sob a epígrafe:” Direitos e garantias dos administrados”, o artº 268º/3 CRP dispõe como segue: “Os actos administrativos (...) carecem de fundamentação expressa e acessível quando afectem direitos ou interesses legalmente protegidos.”</w:t>
      </w:r>
    </w:p>
    <w:p w:rsidR="00C73AD6" w:rsidRDefault="007F1405">
      <w:pPr>
        <w:pStyle w:val="Alneas1nvel"/>
        <w:spacing w:after="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09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Ora e como resulta de 1. supra, a dita notificação é absolutamente omissa quanto aos factos imputados ao Arguido para efeitos do preenchimento do disposto nas normas conjugadas dos artº 4º/1 do Decreto da Presidência do Conselho de Ministros nº 3-A/2021, de 14 de Janeiro, com as alterações introduzidas pelo Decreto da Presidência do Conselho de Ministros nº 3-C/2021, de 22 de Janeiro, 2º/a) e 3º/1 (Decreto-Lei nº 28-B/2020, de 26 de Junho), limitando-se o auto de contra-ordenação à mera referência da data e o local dos “factos”, o que tudo impede o exercício do direito de defesa que assiste ao Arguido.</w:t>
      </w:r>
    </w:p>
    <w:p w:rsidR="00C73AD6" w:rsidRDefault="007F1405">
      <w:pPr>
        <w:pStyle w:val="Alneas1nvel"/>
        <w:spacing w:after="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10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 xml:space="preserve">Para este efeito, cfr. Assento nº 1/2003, publicado no DR, I Série A, de 25.01.2003, nos termos do qual: “Quando, em cumprimento do disposto no artigo 50.º do regime geral das contra-ordenações, o órgão instrutor optar, no termo da instrução contra-ordenacional, pela audiência escrita do arguido, mas, na correspondente notificação, não lhe fornecer todos os elementos necessários para que este fique a conhecer a totalidade dos aspectos relevantes para a decisão, nas matérias de facto e de direito, o processo ficará doravante </w:t>
      </w:r>
      <w:r>
        <w:rPr>
          <w:rStyle w:val="Normal1"/>
          <w:rFonts w:ascii="Adobe Garamond Pro" w:eastAsia="Adobe Garamond Pro" w:hAnsi="Adobe Garamond Pro" w:cs="Adobe Garamond Pro"/>
          <w:spacing w:val="10"/>
          <w:sz w:val="20"/>
          <w:lang w:val="pt-PT" w:eastAsia="pt-PT" w:bidi="pt-PT"/>
        </w:rPr>
        <w:t>afectado de nulidade, dependente de arguição, pelo interessado/</w:t>
      </w:r>
      <w:r>
        <w:rPr>
          <w:rStyle w:val="Normal1"/>
          <w:rFonts w:ascii="Adobe Garamond Pro" w:eastAsia="Adobe Garamond Pro" w:hAnsi="Adobe Garamond Pro" w:cs="Adobe Garamond Pro"/>
          <w:spacing w:val="10"/>
          <w:sz w:val="20"/>
          <w:lang w:val="pt-PT" w:eastAsia="pt-PT" w:bidi="pt-PT"/>
        </w:rPr>
        <w:br/>
      </w:r>
      <w:r>
        <w:rPr>
          <w:rStyle w:val="Normal1"/>
          <w:rFonts w:ascii="Adobe Garamond Pro" w:eastAsia="Adobe Garamond Pro" w:hAnsi="Adobe Garamond Pro" w:cs="Adobe Garamond Pro"/>
          <w:spacing w:val="-1"/>
          <w:sz w:val="20"/>
          <w:lang w:val="pt-PT" w:eastAsia="pt-PT" w:bidi="pt-PT"/>
        </w:rPr>
        <w:t>notificado, no prazo de 10 dias após a notificação, perante a própria administração, ou, judicialmente, no acto de impugnação da subsequente decisão/acusação administrativa” (https://dre.pt/pesquisa/-/search/165465/details/</w:t>
      </w:r>
      <w:r>
        <w:rPr>
          <w:rStyle w:val="Normal1"/>
          <w:rFonts w:ascii="Adobe Garamond Pro" w:eastAsia="Adobe Garamond Pro" w:hAnsi="Adobe Garamond Pro" w:cs="Adobe Garamond Pro"/>
          <w:spacing w:val="-3"/>
          <w:sz w:val="20"/>
          <w:lang w:val="pt-PT" w:eastAsia="pt-PT" w:bidi="pt-PT"/>
        </w:rPr>
        <w:br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maximized).</w:t>
      </w:r>
    </w:p>
    <w:p w:rsidR="00C73AD6" w:rsidRDefault="007F1405">
      <w:pPr>
        <w:pStyle w:val="Alneas1nvel"/>
        <w:spacing w:after="9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Alneas1nvel0"/>
        </w:rPr>
        <w:t>11</w:t>
      </w:r>
      <w:r>
        <w:rPr>
          <w:rStyle w:val="Alneas1nvel0"/>
        </w:rPr>
        <w:tab/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Deixa-se assim e para todos os efeitos de lei expressamente invocada a nulidade resultante de falta de fundamentação de facto e de direito.</w:t>
      </w:r>
    </w:p>
    <w:p w:rsidR="00C73AD6" w:rsidRDefault="00C73AD6">
      <w:pPr>
        <w:spacing w:after="9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9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lastRenderedPageBreak/>
        <w:t>TERMOS EM QUE vista a nulidade sobre-invocada violadora do direito de defesa do Arguido, requer o arquivamento dos presentes autos com todas as consequências de lei.</w:t>
      </w:r>
    </w:p>
    <w:p w:rsidR="00C73AD6" w:rsidRDefault="00C73AD6">
      <w:pPr>
        <w:spacing w:after="9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9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Pede deferimento,</w:t>
      </w:r>
    </w:p>
    <w:p w:rsidR="00F84824" w:rsidRDefault="007F1405" w:rsidP="00F84824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Arguido (assinatura)</w:t>
      </w:r>
      <w:bookmarkStart w:id="0" w:name="_GoBack"/>
      <w:bookmarkEnd w:id="0"/>
    </w:p>
    <w:p w:rsidR="00C73AD6" w:rsidRDefault="00C73AD6">
      <w:pPr>
        <w:spacing w:after="85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C7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6"/>
    <w:rsid w:val="000E24B1"/>
    <w:rsid w:val="007575AA"/>
    <w:rsid w:val="007C3E7C"/>
    <w:rsid w:val="007F1405"/>
    <w:rsid w:val="00882E94"/>
    <w:rsid w:val="00927DBD"/>
    <w:rsid w:val="00AD27FD"/>
    <w:rsid w:val="00B54C95"/>
    <w:rsid w:val="00C73AD6"/>
    <w:rsid w:val="00D7134C"/>
    <w:rsid w:val="00F84824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D99-409C-40A3-83AE-7776F22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dir">
    <w:name w:val="1-TÍTULO FORMULÁRIO (nova dir.)"/>
    <w:link w:val="1-TTULOFORMULRIO"/>
    <w:qFormat/>
    <w:pPr>
      <w:spacing w:after="519" w:line="260" w:lineRule="exact"/>
      <w:jc w:val="center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dir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3181</Characters>
  <Application>Microsoft Office Word</Application>
  <DocSecurity>0</DocSecurity>
  <Lines>26</Lines>
  <Paragraphs>7</Paragraphs>
  <ScaleCrop>false</ScaleCrop>
  <Company>HP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2021-05-12T16:30:00Z</dcterms:created>
  <dcterms:modified xsi:type="dcterms:W3CDTF">2021-05-12T17:13:00Z</dcterms:modified>
</cp:coreProperties>
</file>